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6A" w:rsidRDefault="009602EA">
      <w:pPr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BLYNCH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Region 16 Small Chorus Workshop</w:t>
      </w:r>
    </w:p>
    <w:p w:rsidR="0007496A" w:rsidRDefault="009602E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Kim Wonders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</w:t>
      </w:r>
      <w:r>
        <w:rPr>
          <w:rFonts w:ascii="Arial" w:hAnsi="Arial"/>
          <w:b/>
          <w:bCs/>
        </w:rPr>
        <w:tab/>
        <w:t>June 16, 2018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HANDOUT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        </w:t>
      </w:r>
      <w:r>
        <w:rPr>
          <w:rFonts w:ascii="Arial" w:hAnsi="Arial"/>
          <w:b/>
          <w:bCs/>
          <w:u w:val="single"/>
        </w:rPr>
        <w:t xml:space="preserve">BLYNCH </w:t>
      </w:r>
      <w:r>
        <w:rPr>
          <w:rFonts w:ascii="Arial" w:hAnsi="Arial"/>
          <w:b/>
          <w:bCs/>
          <w:u w:val="single"/>
        </w:rPr>
        <w:t xml:space="preserve">– </w:t>
      </w:r>
      <w:r>
        <w:rPr>
          <w:rFonts w:ascii="Arial" w:hAnsi="Arial"/>
          <w:b/>
          <w:bCs/>
          <w:u w:val="single"/>
        </w:rPr>
        <w:t>BLEND AND SYNCHRONIZATION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Objective: To assist singers in developing better blend and synchronization.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Blend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Blend is described in the JCDB in the Sound Category under Barbershop Blend </w:t>
      </w:r>
      <w:r>
        <w:rPr>
          <w:rFonts w:ascii="Arial" w:hAnsi="Arial"/>
        </w:rPr>
        <w:t xml:space="preserve">– “ </w:t>
      </w:r>
      <w:r>
        <w:rPr>
          <w:rFonts w:ascii="Arial" w:hAnsi="Arial"/>
        </w:rPr>
        <w:t>Two major factors affect the development of a blended sound: common approaches to tone production and vowel production</w:t>
      </w:r>
      <w:r>
        <w:rPr>
          <w:rFonts w:ascii="Arial" w:hAnsi="Arial"/>
        </w:rPr>
        <w:t>”</w:t>
      </w:r>
      <w:r>
        <w:rPr>
          <w:rFonts w:ascii="Arial" w:hAnsi="Arial"/>
        </w:rPr>
        <w:t xml:space="preserve">. JCDB Sec. II-A pg. 7. 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It also says </w:t>
      </w:r>
      <w:r>
        <w:rPr>
          <w:rFonts w:ascii="Arial" w:hAnsi="Arial"/>
        </w:rPr>
        <w:t>“</w:t>
      </w:r>
      <w:r>
        <w:rPr>
          <w:rFonts w:ascii="Arial" w:hAnsi="Arial"/>
        </w:rPr>
        <w:t>The sound judge</w:t>
      </w:r>
      <w:r>
        <w:rPr>
          <w:rFonts w:ascii="Arial" w:hAnsi="Arial"/>
        </w:rPr>
        <w:t>’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 concern with vowel production is limited to the issue of uniformity, since blend cannot exist when vowel production is not uniform.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>JCDB Sec. II-A, pg. 7.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Synchronization 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Sound Category</w:t>
      </w:r>
      <w:r>
        <w:rPr>
          <w:rFonts w:ascii="Arial" w:hAnsi="Arial"/>
        </w:rPr>
        <w:t xml:space="preserve"> - synchronization is under Accuracy, and it states </w:t>
      </w:r>
      <w:r>
        <w:rPr>
          <w:rFonts w:ascii="Arial" w:hAnsi="Arial"/>
        </w:rPr>
        <w:t>“</w:t>
      </w:r>
      <w:r>
        <w:rPr>
          <w:rFonts w:ascii="Arial" w:hAnsi="Arial"/>
        </w:rPr>
        <w:t>Synchronizatio</w:t>
      </w:r>
      <w:r>
        <w:rPr>
          <w:rFonts w:ascii="Arial" w:hAnsi="Arial"/>
        </w:rPr>
        <w:t>n is a necessary element of harmony accuracy. The sound judge rewards a performance in which a total unit sound exists, i.e., chords are locked from the instant they are sounded. Lack of synchronization affects unit sound because it can mar a blended music</w:t>
      </w:r>
      <w:r>
        <w:rPr>
          <w:rFonts w:ascii="Arial" w:hAnsi="Arial"/>
        </w:rPr>
        <w:t>al unit, preventing instantly matched vowels and distort a solid barbershop sound.</w:t>
      </w:r>
      <w:r>
        <w:rPr>
          <w:rFonts w:ascii="Arial" w:hAnsi="Arial"/>
        </w:rPr>
        <w:t xml:space="preserve">” 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tabs>
          <w:tab w:val="left" w:pos="3150"/>
        </w:tabs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Music Category</w:t>
      </w:r>
      <w:r>
        <w:rPr>
          <w:rFonts w:ascii="Arial" w:hAnsi="Arial"/>
        </w:rPr>
        <w:t xml:space="preserve"> - it says </w:t>
      </w:r>
      <w:r>
        <w:rPr>
          <w:rFonts w:ascii="Arial" w:hAnsi="Arial"/>
        </w:rPr>
        <w:t xml:space="preserve">“ </w:t>
      </w:r>
      <w:r>
        <w:rPr>
          <w:rFonts w:ascii="Arial" w:hAnsi="Arial"/>
        </w:rPr>
        <w:t xml:space="preserve">Musical unity is achieved when all members of the ensemble are singing vowels correctly and simultaneously, and are singing chords in tune and </w:t>
      </w:r>
      <w:r>
        <w:rPr>
          <w:rFonts w:ascii="Arial" w:hAnsi="Arial"/>
        </w:rPr>
        <w:t>together. Ensemble singing requires particular attention to synchronization to achieve musical unity.</w:t>
      </w:r>
      <w:r>
        <w:rPr>
          <w:rFonts w:ascii="Arial" w:hAnsi="Arial"/>
        </w:rPr>
        <w:t xml:space="preserve">” 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Expression Category</w:t>
      </w:r>
      <w:r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Synchronization is under Technical Elements as Synchronization/Unity. -  it says </w:t>
      </w:r>
      <w:r>
        <w:rPr>
          <w:rFonts w:ascii="Arial" w:hAnsi="Arial"/>
        </w:rPr>
        <w:t>”</w:t>
      </w:r>
      <w:r>
        <w:rPr>
          <w:rFonts w:ascii="Arial" w:hAnsi="Arial"/>
        </w:rPr>
        <w:t>The components of synchronization and attacks an</w:t>
      </w:r>
      <w:r>
        <w:rPr>
          <w:rFonts w:ascii="Arial" w:hAnsi="Arial"/>
        </w:rPr>
        <w:t>d releases are considered together because they go hand-in-hand; one is the beginning and the other is the ending.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 xml:space="preserve">It further says </w:t>
      </w:r>
      <w:r>
        <w:rPr>
          <w:rFonts w:ascii="Arial" w:hAnsi="Arial"/>
        </w:rPr>
        <w:t>“</w:t>
      </w:r>
      <w:r>
        <w:rPr>
          <w:rFonts w:ascii="Arial" w:hAnsi="Arial"/>
        </w:rPr>
        <w:t xml:space="preserve">The term </w:t>
      </w:r>
      <w:r>
        <w:rPr>
          <w:rFonts w:ascii="Arial" w:hAnsi="Arial"/>
        </w:rPr>
        <w:t>“</w:t>
      </w:r>
      <w:r>
        <w:rPr>
          <w:rFonts w:ascii="Arial" w:hAnsi="Arial"/>
        </w:rPr>
        <w:t>internal synchronization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>is often used to refer to the vertical togetherness that must exist within words and ph</w:t>
      </w:r>
      <w:r>
        <w:rPr>
          <w:rFonts w:ascii="Arial" w:hAnsi="Arial"/>
        </w:rPr>
        <w:t>rases if the unity of the presentation is to be maintained.</w:t>
      </w:r>
      <w:r>
        <w:rPr>
          <w:rFonts w:ascii="Arial" w:hAnsi="Arial"/>
        </w:rPr>
        <w:t>”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BLYNCH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Region 16 Small Chorus Workshop</w:t>
      </w:r>
    </w:p>
    <w:p w:rsidR="0007496A" w:rsidRDefault="009602E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Kim Wonders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</w:t>
      </w:r>
      <w:r>
        <w:rPr>
          <w:rFonts w:ascii="Arial" w:hAnsi="Arial"/>
          <w:b/>
          <w:bCs/>
        </w:rPr>
        <w:tab/>
        <w:t>June 16, 2018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HANDOUT 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>page 2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Areas that can be worked during a BLYNCH session are: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Section blend/unity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Resonance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Placement of sound (forward)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Maintaining singing space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Tuning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Matched vowels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Turning diphthongs together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Breathing in tempo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Target vowel on the beat (not consonant)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Smooth vocal line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Steady tempo regardless of vocal line difficulties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Interpretation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Dynamic plan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Maintaining tonality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Riser Placement </w:t>
      </w: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Section issues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Section Issues</w:t>
      </w:r>
    </w:p>
    <w:p w:rsidR="0007496A" w:rsidRDefault="009602EA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Tenors</w:t>
      </w:r>
      <w:r>
        <w:rPr>
          <w:rFonts w:ascii="Arial" w:hAnsi="Arial"/>
        </w:rPr>
        <w:t xml:space="preserve"> – </w:t>
      </w:r>
      <w:r>
        <w:rPr>
          <w:rFonts w:ascii="Arial" w:hAnsi="Arial"/>
        </w:rPr>
        <w:t>singing high notes with consistent quality and control. Maintaining lightness of quality and bell like clarity.</w:t>
      </w:r>
    </w:p>
    <w:p w:rsidR="0007496A" w:rsidRDefault="0007496A">
      <w:pPr>
        <w:ind w:left="1080"/>
        <w:rPr>
          <w:rFonts w:ascii="Arial" w:eastAsia="Arial" w:hAnsi="Arial" w:cs="Arial"/>
        </w:rPr>
      </w:pPr>
    </w:p>
    <w:p w:rsidR="0007496A" w:rsidRDefault="009602EA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Leads</w:t>
      </w:r>
      <w:r>
        <w:rPr>
          <w:rFonts w:ascii="Arial" w:hAnsi="Arial"/>
        </w:rPr>
        <w:t xml:space="preserve"> – </w:t>
      </w:r>
      <w:r>
        <w:rPr>
          <w:rFonts w:ascii="Arial" w:hAnsi="Arial"/>
        </w:rPr>
        <w:t xml:space="preserve">consistent vocal quality, </w:t>
      </w:r>
      <w:r>
        <w:rPr>
          <w:rFonts w:ascii="Arial" w:hAnsi="Arial"/>
        </w:rPr>
        <w:t>executing smooth transitions between the lower and upper registers. Singing with musical authority with clarity, brilliance, depth, and maturity.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Baritones</w:t>
      </w:r>
      <w:r>
        <w:rPr>
          <w:rFonts w:ascii="Arial" w:hAnsi="Arial"/>
        </w:rPr>
        <w:t xml:space="preserve"> – </w:t>
      </w:r>
      <w:r>
        <w:rPr>
          <w:rFonts w:ascii="Arial" w:hAnsi="Arial"/>
        </w:rPr>
        <w:t>consistency of quality between upper and lower registers. Vocal flexibility.</w:t>
      </w:r>
    </w:p>
    <w:p w:rsidR="0007496A" w:rsidRDefault="0007496A">
      <w:pPr>
        <w:rPr>
          <w:rFonts w:ascii="Arial" w:eastAsia="Arial" w:hAnsi="Arial" w:cs="Arial"/>
          <w:b/>
          <w:bCs/>
        </w:rPr>
      </w:pPr>
    </w:p>
    <w:p w:rsidR="0007496A" w:rsidRDefault="009602EA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Basses 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>singing wi</w:t>
      </w:r>
      <w:r>
        <w:rPr>
          <w:rFonts w:ascii="Arial" w:hAnsi="Arial"/>
        </w:rPr>
        <w:t>th musical authority, consistency of vocal quality that is mellow, melodic with sufficient volume and projection on the low tones, maintaining resonance at all extremes of their register.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When BLYNCH sessions involve 2 parts, the above can be addressed as</w:t>
      </w:r>
      <w:r>
        <w:rPr>
          <w:rFonts w:ascii="Arial" w:hAnsi="Arial"/>
        </w:rPr>
        <w:t xml:space="preserve"> well as the following;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Lead/Tenor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Any 2nds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Executing moving parts when one section is posting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Coning</w:t>
      </w:r>
    </w:p>
    <w:p w:rsidR="0007496A" w:rsidRDefault="0007496A">
      <w:pPr>
        <w:rPr>
          <w:rFonts w:ascii="Arial" w:eastAsia="Arial" w:hAnsi="Arial" w:cs="Arial"/>
          <w:b/>
          <w:bCs/>
          <w:color w:val="FF0000"/>
          <w:u w:color="FF0000"/>
        </w:rPr>
      </w:pP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Lead/Baritone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Any 2nds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Executing moving parts when one section is posting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Coning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Lead/Bass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Locking Octaves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Lead/bass match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Executing moving parts when</w:t>
      </w:r>
      <w:r>
        <w:rPr>
          <w:rFonts w:ascii="Arial" w:hAnsi="Arial"/>
        </w:rPr>
        <w:t xml:space="preserve"> one section is posting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Baritone/Bass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Locking Octaves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Executing embellishments together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Shared singing space</w:t>
      </w:r>
    </w:p>
    <w:p w:rsidR="0007496A" w:rsidRDefault="0007496A">
      <w:pPr>
        <w:rPr>
          <w:rFonts w:ascii="Arial" w:eastAsia="Arial" w:hAnsi="Arial" w:cs="Arial"/>
        </w:rPr>
      </w:pP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Tenor/Bass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Locking Octaves</w:t>
      </w:r>
    </w:p>
    <w:p w:rsidR="0007496A" w:rsidRDefault="009602EA">
      <w:pPr>
        <w:rPr>
          <w:rFonts w:ascii="Arial" w:eastAsia="Arial" w:hAnsi="Arial" w:cs="Arial"/>
        </w:rPr>
      </w:pPr>
      <w:r>
        <w:rPr>
          <w:rFonts w:ascii="Arial" w:hAnsi="Arial"/>
        </w:rPr>
        <w:t>Executing embellishments together</w:t>
      </w:r>
    </w:p>
    <w:p w:rsidR="0007496A" w:rsidRDefault="0007496A"/>
    <w:p w:rsidR="0007496A" w:rsidRDefault="009602EA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</w:rPr>
        <w:t xml:space="preserve">By focusing on an area of improvement that is listed in more than one category you </w:t>
      </w:r>
      <w:r>
        <w:rPr>
          <w:rFonts w:ascii="Arial" w:hAnsi="Arial"/>
        </w:rPr>
        <w:t>are able to develop skills that impact your overall musical growth as a chorus.</w:t>
      </w:r>
    </w:p>
    <w:p w:rsidR="0007496A" w:rsidRDefault="0007496A"/>
    <w:sectPr w:rsidR="0007496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EA" w:rsidRDefault="009602EA">
      <w:r>
        <w:separator/>
      </w:r>
    </w:p>
  </w:endnote>
  <w:endnote w:type="continuationSeparator" w:id="0">
    <w:p w:rsidR="009602EA" w:rsidRDefault="0096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6A" w:rsidRDefault="0007496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EA" w:rsidRDefault="009602EA">
      <w:r>
        <w:separator/>
      </w:r>
    </w:p>
  </w:footnote>
  <w:footnote w:type="continuationSeparator" w:id="0">
    <w:p w:rsidR="009602EA" w:rsidRDefault="0096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6A" w:rsidRDefault="0007496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5AC"/>
    <w:multiLevelType w:val="hybridMultilevel"/>
    <w:tmpl w:val="77C2ED26"/>
    <w:numStyleLink w:val="ImportedStyle1"/>
  </w:abstractNum>
  <w:abstractNum w:abstractNumId="1">
    <w:nsid w:val="7D236931"/>
    <w:multiLevelType w:val="hybridMultilevel"/>
    <w:tmpl w:val="77C2ED26"/>
    <w:styleLink w:val="ImportedStyle1"/>
    <w:lvl w:ilvl="0" w:tplc="915E4EA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E09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7238D0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2FFEC">
      <w:start w:val="1"/>
      <w:numFmt w:val="bullet"/>
      <w:lvlText w:val="•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ACCAA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AE27A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CE35B6">
      <w:start w:val="1"/>
      <w:numFmt w:val="bullet"/>
      <w:lvlText w:val="•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EA94E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7E3798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496A"/>
    <w:rsid w:val="0007496A"/>
    <w:rsid w:val="00761FDC"/>
    <w:rsid w:val="009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Lucida Grande" w:hAnsi="Lucida Grande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Lucida Grande" w:hAnsi="Lucida Grande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Maplewood Public</dc:creator>
  <cp:lastModifiedBy>mappublic</cp:lastModifiedBy>
  <cp:revision>2</cp:revision>
  <dcterms:created xsi:type="dcterms:W3CDTF">2018-06-18T17:22:00Z</dcterms:created>
  <dcterms:modified xsi:type="dcterms:W3CDTF">2018-06-18T17:22:00Z</dcterms:modified>
</cp:coreProperties>
</file>